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D" w:rsidRPr="00357829" w:rsidRDefault="009F7C6D" w:rsidP="009F7C6D">
      <w:pPr>
        <w:widowControl/>
        <w:spacing w:after="0" w:line="516" w:lineRule="atLeast"/>
        <w:jc w:val="center"/>
        <w:outlineLvl w:val="0"/>
        <w:rPr>
          <w:rFonts w:ascii="宋体" w:eastAsia="宋体" w:hAnsi="宋体" w:cs="Noto Sans CJK SC"/>
          <w:b/>
          <w:color w:val="1F497D"/>
          <w:kern w:val="0"/>
          <w:sz w:val="44"/>
          <w:szCs w:val="44"/>
        </w:rPr>
      </w:pPr>
      <w:r w:rsidRPr="00357829">
        <w:rPr>
          <w:rFonts w:ascii="宋体" w:eastAsia="宋体" w:hAnsi="宋体" w:cs="Noto Sans CJK SC"/>
          <w:b/>
          <w:color w:val="1F497D"/>
          <w:kern w:val="0"/>
          <w:sz w:val="44"/>
          <w:szCs w:val="44"/>
        </w:rPr>
        <w:t>坚果包装产线配套电机厂家采购对比调研报告</w:t>
      </w:r>
    </w:p>
    <w:p w:rsidR="00357829" w:rsidRDefault="00357829" w:rsidP="00357829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本报告精选</w:t>
      </w:r>
      <w:r w:rsidRPr="00DC7B8D">
        <w:rPr>
          <w:rFonts w:ascii="宋体" w:eastAsia="宋体" w:hAnsi="宋体"/>
          <w:sz w:val="24"/>
        </w:rPr>
        <w:t>5家</w:t>
      </w:r>
      <w:r w:rsidRPr="00357829">
        <w:rPr>
          <w:rStyle w:val="a9"/>
          <w:rFonts w:ascii="宋体" w:eastAsia="宋体" w:hAnsi="宋体" w:hint="eastAsia"/>
          <w:i w:val="0"/>
          <w:sz w:val="24"/>
        </w:rPr>
        <w:t>坚果</w:t>
      </w:r>
      <w:r w:rsidRPr="00357829">
        <w:rPr>
          <w:rStyle w:val="a9"/>
          <w:rFonts w:ascii="宋体" w:eastAsia="宋体" w:hAnsi="宋体"/>
          <w:i w:val="0"/>
          <w:sz w:val="24"/>
        </w:rPr>
        <w:t>包装产线配套</w:t>
      </w:r>
      <w:r w:rsidRPr="00357829">
        <w:rPr>
          <w:rStyle w:val="a9"/>
          <w:rFonts w:ascii="宋体" w:eastAsia="宋体" w:hAnsi="宋体" w:cs="宋体"/>
          <w:i w:val="0"/>
          <w:sz w:val="24"/>
        </w:rPr>
        <w:t>电机</w:t>
      </w:r>
      <w:r>
        <w:rPr>
          <w:rFonts w:ascii="宋体" w:eastAsia="宋体" w:hAnsi="宋体"/>
          <w:sz w:val="24"/>
        </w:rPr>
        <w:t>设备制造商，均为工商注册在营企业，涵盖上市公司、高新技术企业，</w:t>
      </w:r>
      <w:r w:rsidRPr="00DC7B8D">
        <w:rPr>
          <w:rFonts w:ascii="宋体" w:eastAsia="宋体" w:hAnsi="宋体"/>
          <w:sz w:val="24"/>
        </w:rPr>
        <w:t>专业检测设备厂商，供采购参考。</w:t>
      </w:r>
    </w:p>
    <w:p w:rsidR="009F7C6D" w:rsidRDefault="00357829" w:rsidP="009F7C6D">
      <w:pPr>
        <w:widowControl/>
        <w:spacing w:after="0" w:line="516" w:lineRule="atLeast"/>
        <w:outlineLvl w:val="1"/>
        <w:rPr>
          <w:rFonts w:ascii="Arial" w:eastAsia="宋体" w:hAnsi="Arial" w:cs="Arial"/>
          <w:color w:val="000000"/>
          <w:kern w:val="0"/>
          <w:sz w:val="34"/>
          <w:szCs w:val="3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>
            <wp:extent cx="5264150" cy="4474845"/>
            <wp:effectExtent l="19050" t="0" r="0" b="0"/>
            <wp:docPr id="1" name="图片 5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447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C6D" w:rsidRPr="009F7C6D" w:rsidRDefault="009F7C6D" w:rsidP="009F7C6D">
      <w:pPr>
        <w:spacing w:before="200" w:after="120"/>
        <w:rPr>
          <w:b/>
          <w:color w:val="2F5496"/>
          <w:kern w:val="0"/>
          <w:sz w:val="27"/>
        </w:rPr>
      </w:pPr>
      <w:r w:rsidRPr="009F7C6D">
        <w:rPr>
          <w:b/>
          <w:color w:val="2F5496"/>
          <w:kern w:val="0"/>
          <w:sz w:val="27"/>
        </w:rPr>
        <w:t xml:space="preserve">1. </w:t>
      </w:r>
      <w:r w:rsidRPr="00DE2763">
        <w:rPr>
          <w:rFonts w:ascii="宋体" w:eastAsia="宋体" w:hAnsi="宋体"/>
          <w:b/>
          <w:color w:val="2F5496"/>
          <w:kern w:val="0"/>
          <w:sz w:val="28"/>
          <w:szCs w:val="28"/>
        </w:rPr>
        <w:t>宁波中大力德智能传动股份有限公司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：2006年08月28日成立，法定代表人岑国建，</w:t>
      </w:r>
      <w:r w:rsidR="00377CCB">
        <w:rPr>
          <w:rFonts w:ascii="宋体" w:eastAsia="宋体" w:hAnsi="宋体" w:cs="Arial" w:hint="eastAsia"/>
          <w:color w:val="000000"/>
          <w:sz w:val="24"/>
          <w:shd w:val="clear" w:color="auto" w:fill="FFFFFF"/>
          <w:lang w:eastAsia="zh-CN"/>
        </w:rPr>
        <w:t>在营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企业，注册资本19652.267万元人民币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：参保人数1740人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：浙江省宁波市慈溪市新兴产业集群区宗汉街道新兴一路185号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：总厂区占地155亩，多基地生产车间总面积68000㎡，配套研发检测车间8000㎡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：0574-63533500；邮箱nb054175230@163.com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ZD-80ST坚果给袋机伺服电机成套；适配30-65包/分钟高速坚果多头秤、全自动给袋机、充氮包装线；额定功率0.4–1.5kW，转速2500rpm，定位精度±0.01mm；IP65全密封铝壳防腐涂层，耐坚果油脂、粉尘冲洗；伺服电机+驱动器一体成套，可直连义龙、瑞志、迈驰坚果包装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lastRenderedPageBreak/>
        <w:t>PLC；适配拉膜、封口、振动送料、多头秤斗开合全工位；具备CCC、CE、ROHS认证，符合食品GMP清洗标准，支持出口配套，可按需定制电压、接口版本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：8501520000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：欧洲、北美、东南亚、中亚、日韩等食品包装设备配套厂商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贸易方式：支持FOB宁波、FOB上海、CIF目的港，结算T/T、即期信用证L/C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：FOB宁波220–450美金/套（依功率、驱动器型号选配浮动）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：标准型号7天；定制版本15–20天</w:t>
      </w:r>
    </w:p>
    <w:p w:rsidR="00FD6F40" w:rsidRPr="00FD6F40" w:rsidRDefault="00FD6F40" w:rsidP="00FD6F40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：CCC、CE、ROHS、ISO9001、ISO14001、食品GMP合规认证</w:t>
      </w:r>
    </w:p>
    <w:p w:rsidR="009F7C6D" w:rsidRPr="00FD6F40" w:rsidRDefault="00FD6F40" w:rsidP="00FD6F40">
      <w:pPr>
        <w:spacing w:after="0" w:line="516" w:lineRule="atLeast"/>
        <w:rPr>
          <w:rFonts w:ascii="Arial" w:eastAsia="宋体" w:hAnsi="Arial" w:cs="Arial"/>
          <w:color w:val="000000"/>
          <w:kern w:val="0"/>
          <w:sz w:val="34"/>
          <w:szCs w:val="34"/>
        </w:rPr>
      </w:pPr>
      <w:r>
        <w:rPr>
          <w:rFonts w:ascii="宋体" w:eastAsia="宋体" w:hAnsi="宋体" w:cs="Arial" w:hint="eastAsia"/>
          <w:color w:val="000000"/>
          <w:kern w:val="0"/>
          <w:sz w:val="24"/>
          <w:shd w:val="clear" w:color="auto" w:fill="FFFFFF"/>
        </w:rPr>
        <w:t>13.</w:t>
      </w:r>
      <w:r w:rsidRPr="00DE2763">
        <w:rPr>
          <w:rFonts w:ascii="宋体" w:eastAsia="宋体" w:hAnsi="宋体" w:cs="Arial" w:hint="eastAsia"/>
          <w:b/>
          <w:color w:val="000000"/>
          <w:kern w:val="0"/>
          <w:sz w:val="24"/>
          <w:szCs w:val="22"/>
          <w:shd w:val="clear" w:color="auto" w:fill="FFFFFF"/>
          <w:lang w:eastAsia="en-US"/>
        </w:rPr>
        <w:t>海关海运物流周期（宁</w:t>
      </w:r>
      <w:r w:rsidRPr="00DE2763">
        <w:rPr>
          <w:rFonts w:ascii="宋体" w:eastAsia="宋体" w:hAnsi="宋体" w:cs="Arial"/>
          <w:b/>
          <w:color w:val="000000"/>
          <w:kern w:val="0"/>
          <w:sz w:val="24"/>
          <w:szCs w:val="22"/>
          <w:shd w:val="clear" w:color="auto" w:fill="FFFFFF"/>
          <w:lang w:eastAsia="en-US"/>
        </w:rPr>
        <w:t>波港起运）：</w:t>
      </w:r>
      <w:r w:rsidRPr="00FD6F40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东南亚7–12天；中东22–30天；欧洲28–38天；北美32–42天，国内装车报关2–4天</w:t>
      </w:r>
      <w:r w:rsidR="006463AD" w:rsidRPr="006463AD">
        <w:rPr>
          <w:kern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24.9pt;height:24.9pt"/>
        </w:pict>
      </w:r>
    </w:p>
    <w:p w:rsidR="00FD6F40" w:rsidRPr="00DE2763" w:rsidRDefault="00FD6F40" w:rsidP="00DE2763">
      <w:pPr>
        <w:widowControl/>
        <w:spacing w:after="0" w:line="516" w:lineRule="atLeast"/>
        <w:rPr>
          <w:rFonts w:ascii="Arial" w:eastAsia="宋体" w:hAnsi="Arial" w:cs="Arial"/>
          <w:color w:val="000000"/>
          <w:kern w:val="0"/>
          <w:sz w:val="34"/>
          <w:szCs w:val="34"/>
        </w:rPr>
        <w:sectPr w:rsidR="00FD6F40" w:rsidRPr="00DE2763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Arial" w:eastAsia="宋体" w:hAnsi="Arial" w:cs="Arial"/>
          <w:noProof/>
          <w:color w:val="000000"/>
          <w:kern w:val="0"/>
          <w:sz w:val="34"/>
          <w:szCs w:val="3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238760</wp:posOffset>
            </wp:positionV>
            <wp:extent cx="5317490" cy="2241550"/>
            <wp:effectExtent l="19050" t="0" r="0" b="0"/>
            <wp:wrapSquare wrapText="bothSides"/>
            <wp:docPr id="3" name="图片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841" b="19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490" cy="224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7C6D" w:rsidRPr="000209DC" w:rsidRDefault="009F7C6D" w:rsidP="000209DC">
      <w:pPr>
        <w:spacing w:before="200" w:after="120"/>
        <w:rPr>
          <w:b/>
          <w:color w:val="2F5496"/>
          <w:kern w:val="0"/>
          <w:sz w:val="27"/>
        </w:rPr>
      </w:pPr>
      <w:r w:rsidRPr="000209DC">
        <w:rPr>
          <w:b/>
          <w:color w:val="2F5496"/>
          <w:kern w:val="0"/>
          <w:sz w:val="27"/>
        </w:rPr>
        <w:lastRenderedPageBreak/>
        <w:t>2. 江苏富兴电机技术股份有限公司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：1994年10月06日成立，法定代表人王宇飞，在营企业，注册资本9000万元人民币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：参保人数383人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：江苏省常州市新北区黄河西路217号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：生产车间建筑面积26000㎡，配套研发测试车间4500㎡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：0519-85132957；邮箱：wancp@fullingmotor.com；官网：www.fullingmotor.com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FX-5IK坚果立式包装减速电机；适配20-50包/分钟中小型坚果立式包装机、烘烤冷却流水线；功率60–200W减速电机，速比3–50K可调，大扭矩低噪音；全封闭防水接线盒，外壳耐油烟、坚果油污水洗；模块化一体减速结构，适配钦典、杰尔古格烘烤坚果产线；支持变频调速，耐高温85</w:t>
      </w:r>
      <w:r w:rsidRPr="00FD6F40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，具备CE、ISO9001认证，可按需定制电压、转速型号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：8501109900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：欧洲、东南亚、中东、北美、澳洲、中亚各国食品包装机械厂商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：支持FOB上海、FOB常州、CIF目的港，结算T/T、即期信用证L/C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：FOB上海22–38美金/台（依功率、速比、变频模块选配浮动）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：标准机型7天；定制电压/速比型号12–18天</w:t>
      </w:r>
    </w:p>
    <w:p w:rsidR="00FD6F40" w:rsidRPr="00FD6F40" w:rsidRDefault="00FD6F40" w:rsidP="00FD6F40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E2763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：ISO9001、CE、RoHS、UL认证</w:t>
      </w:r>
    </w:p>
    <w:p w:rsidR="009F7C6D" w:rsidRPr="00FD6F40" w:rsidRDefault="00FD6F40" w:rsidP="00FD6F40">
      <w:pPr>
        <w:spacing w:after="0" w:line="516" w:lineRule="atLeast"/>
        <w:rPr>
          <w:rFonts w:ascii="Arial" w:eastAsia="宋体" w:hAnsi="Arial" w:cs="Arial"/>
          <w:color w:val="000000"/>
          <w:kern w:val="0"/>
          <w:sz w:val="34"/>
          <w:szCs w:val="34"/>
        </w:rPr>
      </w:pPr>
      <w:r>
        <w:rPr>
          <w:rFonts w:ascii="宋体" w:eastAsia="宋体" w:hAnsi="宋体" w:cs="Arial" w:hint="eastAsia"/>
          <w:color w:val="000000"/>
          <w:kern w:val="0"/>
          <w:sz w:val="24"/>
          <w:shd w:val="clear" w:color="auto" w:fill="FFFFFF"/>
        </w:rPr>
        <w:t>13.</w:t>
      </w:r>
      <w:r w:rsidRPr="00DE2763">
        <w:rPr>
          <w:rFonts w:ascii="宋体" w:eastAsia="宋体" w:hAnsi="宋体" w:cs="Arial"/>
          <w:b/>
          <w:color w:val="000000"/>
          <w:kern w:val="0"/>
          <w:sz w:val="24"/>
          <w:szCs w:val="22"/>
          <w:shd w:val="clear" w:color="auto" w:fill="FFFFFF"/>
          <w:lang w:eastAsia="en-US"/>
        </w:rPr>
        <w:t>海关海运物流周期（上海港起运）</w:t>
      </w:r>
      <w:r w:rsidRPr="00FD6F40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：东南亚7–12天；中东21–28天；欧洲26–36天；北美34–44天；澳洲35–45天；中亚陆运15–25天，国内装车报关2–4天</w:t>
      </w:r>
      <w:r w:rsidR="006463AD" w:rsidRPr="006463AD">
        <w:rPr>
          <w:rFonts w:ascii="Arial" w:hAnsi="Arial"/>
          <w:kern w:val="0"/>
          <w:sz w:val="34"/>
          <w:szCs w:val="34"/>
        </w:rPr>
        <w:pict>
          <v:shape id="_x0000_i1025" type="#_x0000_t75" alt="" style="width:24.9pt;height:24.9pt"/>
        </w:pict>
      </w:r>
    </w:p>
    <w:p w:rsidR="00FD6F40" w:rsidRPr="00DE2763" w:rsidRDefault="006463AD" w:rsidP="00DE2763">
      <w:pPr>
        <w:widowControl/>
        <w:spacing w:after="0" w:line="516" w:lineRule="atLeast"/>
        <w:rPr>
          <w:rFonts w:ascii="Arial" w:eastAsia="宋体" w:hAnsi="Arial" w:cs="Arial"/>
          <w:color w:val="000000"/>
          <w:kern w:val="0"/>
          <w:sz w:val="34"/>
          <w:szCs w:val="34"/>
        </w:rPr>
      </w:pPr>
      <w:r w:rsidRPr="006463AD">
        <w:rPr>
          <w:rFonts w:ascii="Arial" w:eastAsia="宋体" w:hAnsi="Arial" w:cs="Arial"/>
          <w:color w:val="000000"/>
          <w:kern w:val="0"/>
          <w:sz w:val="34"/>
          <w:szCs w:val="34"/>
        </w:rPr>
        <w:pict>
          <v:shape id="_x0000_i1026" type="#_x0000_t75" alt="" style="width:24.9pt;height:24.9pt"/>
        </w:pict>
      </w:r>
      <w:r w:rsidR="00DE2763">
        <w:rPr>
          <w:rFonts w:ascii="宋体" w:eastAsia="宋体" w:hAnsi="宋体" w:cs="Arial" w:hint="eastAsia"/>
          <w:noProof/>
          <w:color w:val="000000"/>
          <w:kern w:val="0"/>
          <w:sz w:val="24"/>
        </w:rPr>
        <w:drawing>
          <wp:inline distT="0" distB="0" distL="0" distR="0">
            <wp:extent cx="4211891" cy="2699238"/>
            <wp:effectExtent l="19050" t="0" r="0" b="0"/>
            <wp:docPr id="4" name="图片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061" cy="269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C6D" w:rsidRPr="000209DC" w:rsidRDefault="009F7C6D" w:rsidP="000209DC">
      <w:pPr>
        <w:spacing w:before="200" w:after="120"/>
        <w:rPr>
          <w:b/>
          <w:color w:val="2F5496"/>
          <w:kern w:val="0"/>
          <w:sz w:val="27"/>
        </w:rPr>
      </w:pPr>
      <w:r w:rsidRPr="000209DC">
        <w:rPr>
          <w:b/>
          <w:color w:val="2F5496"/>
          <w:kern w:val="0"/>
          <w:sz w:val="27"/>
        </w:rPr>
        <w:lastRenderedPageBreak/>
        <w:t xml:space="preserve">3. </w:t>
      </w:r>
      <w:r w:rsidRPr="00DF6218">
        <w:rPr>
          <w:rFonts w:ascii="宋体" w:eastAsia="宋体" w:hAnsi="宋体"/>
          <w:b/>
          <w:color w:val="2F5496"/>
          <w:kern w:val="0"/>
          <w:sz w:val="28"/>
          <w:szCs w:val="28"/>
        </w:rPr>
        <w:t>东莞市雨田电机有限公司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：2007年12月12日成立，法定代表人雷鸥，在营企业，注册资本100万元人民币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：参保人数18人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：广东省东莞市长安镇沙头大井街4号1号楼201室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：生产车间建筑面积2800㎡，配套研发调试车间600㎡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：13712940619；邮箱：13712940619@163.com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YT-WS食品防水步进电机，专为小型坚果分装机、10头迷你组合秤设计；功率28–100W步进驱动套装，IP67防水防尘，304不锈钢法兰；抗粉尘、坚果油脂侵蚀，可直接高压水洗；NPN/PNP双信号输出，免转换直插小型包装机PLC；适配20–40包/分钟小批量坚果包装设备，ROHS、CE双认证，替换成本低，支持多款常用型号非标定制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：8501310000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：东南亚、中东、中亚、东欧坚果食品加工厂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：支持FOB深圳、FOB东莞、CIF目的港，结算T/T、即期信用证L/C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：FOB深圳120–260美金/台（依功率、驱动器配置浮动）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：标准机型7天；定制防水加长轴机型15–20天</w:t>
      </w:r>
    </w:p>
    <w:p w:rsidR="00FD6F40" w:rsidRPr="00FD6F40" w:rsidRDefault="00FD6F40" w:rsidP="00FD6F40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：ROHS、CE安全认证</w:t>
      </w:r>
    </w:p>
    <w:p w:rsidR="009F7C6D" w:rsidRPr="00FD6F40" w:rsidRDefault="00FD6F40" w:rsidP="00FD6F40">
      <w:pPr>
        <w:spacing w:after="0" w:line="516" w:lineRule="atLeast"/>
        <w:rPr>
          <w:rFonts w:ascii="Arial" w:eastAsia="宋体" w:hAnsi="Arial" w:cs="Arial"/>
          <w:color w:val="000000"/>
          <w:kern w:val="0"/>
          <w:sz w:val="34"/>
          <w:szCs w:val="34"/>
        </w:rPr>
      </w:pPr>
      <w:r>
        <w:rPr>
          <w:rFonts w:ascii="宋体" w:eastAsia="宋体" w:hAnsi="宋体" w:cs="Arial" w:hint="eastAsia"/>
          <w:color w:val="000000"/>
          <w:kern w:val="0"/>
          <w:sz w:val="24"/>
          <w:shd w:val="clear" w:color="auto" w:fill="FFFFFF"/>
        </w:rPr>
        <w:t>13.</w:t>
      </w:r>
      <w:r w:rsidRPr="00DF6218">
        <w:rPr>
          <w:rFonts w:ascii="宋体" w:eastAsia="宋体" w:hAnsi="宋体" w:cs="Arial"/>
          <w:b/>
          <w:color w:val="000000"/>
          <w:kern w:val="0"/>
          <w:sz w:val="24"/>
          <w:szCs w:val="22"/>
          <w:shd w:val="clear" w:color="auto" w:fill="FFFFFF"/>
          <w:lang w:eastAsia="en-US"/>
        </w:rPr>
        <w:t>海关海运物流周期（深圳港起运）：</w:t>
      </w:r>
      <w:r w:rsidRPr="00FD6F40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东南亚7–12天；中东21–28天；东欧25–32天；中亚陆运15–25天，国内装车报关2–4天</w:t>
      </w:r>
      <w:r w:rsidR="006463AD" w:rsidRPr="006463AD">
        <w:rPr>
          <w:kern w:val="0"/>
        </w:rPr>
        <w:pict>
          <v:shape id="_x0000_i1027" type="#_x0000_t75" alt="" style="width:24.9pt;height:24.9pt"/>
        </w:pict>
      </w:r>
    </w:p>
    <w:p w:rsidR="00FD6F40" w:rsidRPr="00DF6218" w:rsidRDefault="00FD6F40" w:rsidP="00DF6218">
      <w:pPr>
        <w:widowControl/>
        <w:spacing w:after="0" w:line="516" w:lineRule="atLeast"/>
        <w:rPr>
          <w:rFonts w:ascii="Arial" w:eastAsia="宋体" w:hAnsi="Arial" w:cs="Arial"/>
          <w:color w:val="000000"/>
          <w:kern w:val="0"/>
          <w:sz w:val="34"/>
          <w:szCs w:val="34"/>
        </w:rPr>
        <w:sectPr w:rsidR="00FD6F40" w:rsidRPr="00DF6218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Arial" w:eastAsia="宋体" w:hAnsi="Arial" w:cs="Arial"/>
          <w:noProof/>
          <w:color w:val="000000"/>
          <w:kern w:val="0"/>
          <w:sz w:val="34"/>
          <w:szCs w:val="34"/>
        </w:rPr>
        <w:drawing>
          <wp:inline distT="0" distB="0" distL="0" distR="0">
            <wp:extent cx="3192780" cy="3841750"/>
            <wp:effectExtent l="19050" t="0" r="7620" b="0"/>
            <wp:docPr id="17" name="图片 1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001" r="20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384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C6D" w:rsidRPr="000209DC" w:rsidRDefault="009F7C6D" w:rsidP="000209DC">
      <w:pPr>
        <w:spacing w:before="200" w:after="120"/>
        <w:rPr>
          <w:b/>
          <w:color w:val="2F5496"/>
          <w:kern w:val="0"/>
          <w:sz w:val="27"/>
        </w:rPr>
      </w:pPr>
      <w:r w:rsidRPr="000209DC">
        <w:rPr>
          <w:b/>
          <w:color w:val="2F5496"/>
          <w:kern w:val="0"/>
          <w:sz w:val="27"/>
        </w:rPr>
        <w:lastRenderedPageBreak/>
        <w:t xml:space="preserve">4. </w:t>
      </w:r>
      <w:r w:rsidRPr="00DF6218">
        <w:rPr>
          <w:rFonts w:ascii="宋体" w:eastAsia="宋体" w:hAnsi="宋体"/>
          <w:b/>
          <w:color w:val="2F5496"/>
          <w:kern w:val="0"/>
          <w:sz w:val="28"/>
          <w:szCs w:val="28"/>
        </w:rPr>
        <w:t>浙江欣立电器科技有限公司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：2018年11月15日成立，法定代表人杨开生，在营企业，注册资本3000万元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：参保人数240人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：浙江省杭州市富阳区东洲街道东洲工业功能区六号路12号第2幢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：生产车间建筑面积15000㎡，配套研发测试车间3000㎡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：0571-63465512；邮箱xlcw@zjxldq.com.cn；官网：www.zjxldq.com.cn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XL-PM永磁同步伺服电机，适配高速坚果预制袋全自动包装整线、多头组合秤振动送料机构；功率0.75–2.2kW，响应速度快，长时间连续运行不发烫；整机防腐喷涂，防水防油，适配每日坚果充氮、金属检测联动工位；兼容国内主流坚果包装设备整机配套；具备CCC、OIML配套认证，可批量出口，支持多种电压规格定制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：8501530000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：东南亚、中东、欧洲、澳洲、北美自动化食品机械配套厂商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：支持FOB宁波、FOB上海、CIF目的港，结算T/T、即期信用证L/C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：FOB宁波210–320美金/台（依功率、抱闸、编码器选配浮动）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：标准型号7天；定制参数版本15–20天</w:t>
      </w:r>
    </w:p>
    <w:p w:rsidR="00FD6F40" w:rsidRPr="00FD6F40" w:rsidRDefault="00FD6F40" w:rsidP="00FD6F40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：ISO9001、CE、CCC、OIML认证</w:t>
      </w:r>
    </w:p>
    <w:p w:rsidR="009F7C6D" w:rsidRPr="00FD6F40" w:rsidRDefault="00FD6F40" w:rsidP="00FD6F40">
      <w:pPr>
        <w:spacing w:after="0" w:line="516" w:lineRule="atLeast"/>
        <w:rPr>
          <w:rFonts w:ascii="Arial" w:eastAsia="宋体" w:hAnsi="Arial" w:cs="Arial"/>
          <w:color w:val="000000"/>
          <w:kern w:val="0"/>
          <w:sz w:val="34"/>
          <w:szCs w:val="34"/>
        </w:rPr>
      </w:pPr>
      <w:r>
        <w:rPr>
          <w:rFonts w:ascii="宋体" w:eastAsia="宋体" w:hAnsi="宋体" w:cs="Arial" w:hint="eastAsia"/>
          <w:color w:val="000000"/>
          <w:kern w:val="0"/>
          <w:sz w:val="24"/>
          <w:shd w:val="clear" w:color="auto" w:fill="FFFFFF"/>
        </w:rPr>
        <w:t>13.</w:t>
      </w:r>
      <w:r w:rsidRPr="00DF6218">
        <w:rPr>
          <w:rFonts w:ascii="宋体" w:eastAsia="宋体" w:hAnsi="宋体" w:cs="Arial"/>
          <w:b/>
          <w:color w:val="000000"/>
          <w:kern w:val="0"/>
          <w:sz w:val="24"/>
          <w:szCs w:val="22"/>
          <w:shd w:val="clear" w:color="auto" w:fill="FFFFFF"/>
          <w:lang w:eastAsia="en-US"/>
        </w:rPr>
        <w:t>海关海运物流周期（上海港起运）：</w:t>
      </w:r>
      <w:r w:rsidRPr="00FD6F40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东南亚7–12天；中东22–30天；欧洲28–38天；澳洲32–40天；北美35–45天，国内装车报关2–4天</w:t>
      </w:r>
      <w:r w:rsidR="006463AD" w:rsidRPr="006463AD">
        <w:rPr>
          <w:rFonts w:ascii="Arial" w:hAnsi="Arial"/>
          <w:kern w:val="0"/>
          <w:sz w:val="34"/>
          <w:szCs w:val="34"/>
        </w:rPr>
        <w:pict>
          <v:shape id="_x0000_i1028" type="#_x0000_t75" alt="" style="width:24.9pt;height:24.9pt"/>
        </w:pict>
      </w:r>
    </w:p>
    <w:p w:rsidR="009F7C6D" w:rsidRPr="009F7C6D" w:rsidRDefault="009F7C6D" w:rsidP="009F7C6D">
      <w:pPr>
        <w:widowControl/>
        <w:spacing w:after="0" w:line="240" w:lineRule="auto"/>
        <w:rPr>
          <w:rFonts w:ascii="宋体" w:eastAsia="宋体" w:hAnsi="宋体" w:cs="宋体"/>
          <w:kern w:val="0"/>
          <w:sz w:val="24"/>
        </w:rPr>
      </w:pPr>
    </w:p>
    <w:p w:rsidR="00FD6F40" w:rsidRDefault="00FD6F40" w:rsidP="000209DC">
      <w:pPr>
        <w:spacing w:before="200" w:after="120"/>
        <w:rPr>
          <w:b/>
          <w:color w:val="2F5496"/>
          <w:kern w:val="0"/>
          <w:sz w:val="27"/>
        </w:rPr>
      </w:pPr>
      <w:r>
        <w:rPr>
          <w:rFonts w:hint="eastAsia"/>
          <w:b/>
          <w:noProof/>
          <w:color w:val="2F5496"/>
          <w:kern w:val="0"/>
          <w:sz w:val="27"/>
        </w:rPr>
        <w:drawing>
          <wp:inline distT="0" distB="0" distL="0" distR="0">
            <wp:extent cx="4807585" cy="1863725"/>
            <wp:effectExtent l="19050" t="0" r="0" b="0"/>
            <wp:docPr id="22" name="图片 2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0495" b="19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85" cy="186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F40" w:rsidRDefault="00FD6F40" w:rsidP="000209DC">
      <w:pPr>
        <w:spacing w:before="200" w:after="120"/>
        <w:rPr>
          <w:b/>
          <w:color w:val="2F5496"/>
          <w:kern w:val="0"/>
          <w:sz w:val="27"/>
        </w:rPr>
        <w:sectPr w:rsidR="00FD6F40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F7C6D" w:rsidRPr="000209DC" w:rsidRDefault="009F7C6D" w:rsidP="000209DC">
      <w:pPr>
        <w:spacing w:before="200" w:after="120"/>
        <w:rPr>
          <w:b/>
          <w:color w:val="2F5496"/>
          <w:kern w:val="0"/>
          <w:sz w:val="27"/>
        </w:rPr>
      </w:pPr>
      <w:r w:rsidRPr="000209DC">
        <w:rPr>
          <w:b/>
          <w:color w:val="2F5496"/>
          <w:kern w:val="0"/>
          <w:sz w:val="27"/>
        </w:rPr>
        <w:lastRenderedPageBreak/>
        <w:t xml:space="preserve">5. </w:t>
      </w:r>
      <w:r w:rsidRPr="00DF6218">
        <w:rPr>
          <w:rFonts w:ascii="宋体" w:eastAsia="宋体" w:hAnsi="宋体"/>
          <w:b/>
          <w:color w:val="2F5496"/>
          <w:kern w:val="0"/>
          <w:sz w:val="28"/>
          <w:szCs w:val="28"/>
        </w:rPr>
        <w:t>常州精控电机电器有限公司</w:t>
      </w:r>
    </w:p>
    <w:p w:rsidR="00FD6F40" w:rsidRPr="00FD6F40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：2011年03月22日成立，法定代表人范蓓蕾，在营企业，注册资本875万元</w:t>
      </w:r>
    </w:p>
    <w:p w:rsidR="00FD6F40" w:rsidRPr="00FD6F40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：参保人数118人</w:t>
      </w:r>
    </w:p>
    <w:p w:rsidR="00FD6F40" w:rsidRPr="00FD6F40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：常州市武进区湖塘镇东升路2号1幢1-3层</w:t>
      </w:r>
    </w:p>
    <w:p w:rsidR="00FD6F40" w:rsidRPr="00FD6F40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：生产车间6500㎡，配套研发测试车间1200㎡</w:t>
      </w:r>
    </w:p>
    <w:p w:rsidR="00FD6F40" w:rsidRPr="00FD6F40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：0519-88372558；邮箱sales@jkongmotor.com</w:t>
      </w:r>
    </w:p>
    <w:p w:rsidR="00FD6F40" w:rsidRPr="00FD6F40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JK-42/57组合秤专用步进电机；适配10/14头坚果组合秤料斗开合、振动给料小型驱动电机；42/57系列步进电机，具备低发热、低振动特性，不干扰计量称重精度；IP65密封防护，可耐受坚果碎料粉尘堆积，便于拆卸清洗；整机含电机+驱动器成套供应，适配杰曼、柯力传感配套称重设备，支持小批量快速定制</w:t>
      </w:r>
    </w:p>
    <w:p w:rsidR="00FD6F40" w:rsidRPr="00DF6218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b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：8501310000</w:t>
      </w:r>
    </w:p>
    <w:p w:rsidR="00FD6F40" w:rsidRPr="00DF6218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b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出口地区：</w:t>
      </w:r>
      <w:r w:rsidRPr="00DF6218">
        <w:rPr>
          <w:rFonts w:ascii="宋体" w:eastAsia="宋体" w:hAnsi="宋体" w:cs="Arial"/>
          <w:color w:val="000000"/>
          <w:sz w:val="24"/>
          <w:shd w:val="clear" w:color="auto" w:fill="FFFFFF"/>
        </w:rPr>
        <w:t>东南亚、中东、欧洲、北美食品包装机械厂商</w:t>
      </w:r>
    </w:p>
    <w:p w:rsidR="00FD6F40" w:rsidRPr="00DF6218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贸易方式：</w:t>
      </w:r>
      <w:r w:rsidRPr="00DF6218">
        <w:rPr>
          <w:rFonts w:ascii="宋体" w:eastAsia="宋体" w:hAnsi="宋体" w:cs="Arial"/>
          <w:color w:val="000000"/>
          <w:sz w:val="24"/>
          <w:shd w:val="clear" w:color="auto" w:fill="FFFFFF"/>
        </w:rPr>
        <w:t>支持FOB上海、FOB宁波、CIF目的港，结算T/T、即期信用证L/C</w:t>
      </w:r>
    </w:p>
    <w:p w:rsidR="00FD6F40" w:rsidRPr="00FD6F40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：FOB上海18–35美金/台（依型号、驱动器版本选配浮动）</w:t>
      </w:r>
    </w:p>
    <w:p w:rsidR="00FD6F40" w:rsidRPr="00FD6F40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：标准机型7天；定制版本12–18天</w:t>
      </w:r>
    </w:p>
    <w:p w:rsidR="00FD6F40" w:rsidRPr="00FD6F40" w:rsidRDefault="00FD6F40" w:rsidP="00FD6F40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：ISO9001、CE、RoHS认证</w:t>
      </w:r>
    </w:p>
    <w:p w:rsidR="009F7C6D" w:rsidRPr="00FD6F40" w:rsidRDefault="00FD6F40" w:rsidP="00FD6F40">
      <w:pPr>
        <w:pStyle w:val="a5"/>
        <w:numPr>
          <w:ilvl w:val="0"/>
          <w:numId w:val="15"/>
        </w:numPr>
        <w:spacing w:after="0" w:line="516" w:lineRule="atLeast"/>
        <w:rPr>
          <w:rFonts w:ascii="宋体" w:eastAsia="宋体" w:hAnsi="宋体" w:cs="Arial"/>
          <w:color w:val="000000"/>
          <w:sz w:val="24"/>
        </w:rPr>
      </w:pPr>
      <w:r w:rsidRPr="00DF6218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海关海运物流周期（上海港起运）：</w:t>
      </w:r>
      <w:r w:rsidRPr="00FD6F40">
        <w:rPr>
          <w:rFonts w:ascii="宋体" w:eastAsia="宋体" w:hAnsi="宋体" w:cs="Arial"/>
          <w:color w:val="000000"/>
          <w:sz w:val="24"/>
          <w:shd w:val="clear" w:color="auto" w:fill="FFFFFF"/>
        </w:rPr>
        <w:t>东南亚7–12天；中东22–30天；欧洲28–38天；北美33–43天，国内装车报关2–4天</w:t>
      </w:r>
      <w:r w:rsidR="006463AD">
        <w:pict>
          <v:shape id="_x0000_i1029" type="#_x0000_t75" alt="" style="width:24.9pt;height:24.9pt"/>
        </w:pict>
      </w:r>
    </w:p>
    <w:p w:rsidR="00D67F95" w:rsidRDefault="00D67F95"/>
    <w:p w:rsidR="00FD6F40" w:rsidRDefault="00FD6F40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845185</wp:posOffset>
            </wp:positionH>
            <wp:positionV relativeFrom="paragraph">
              <wp:posOffset>16510</wp:posOffset>
            </wp:positionV>
            <wp:extent cx="3356610" cy="2654935"/>
            <wp:effectExtent l="19050" t="0" r="0" b="0"/>
            <wp:wrapSquare wrapText="bothSides"/>
            <wp:docPr id="83" name="图片 8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265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6F40" w:rsidSect="00D71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045" w:rsidRDefault="008C4045" w:rsidP="00357829">
      <w:pPr>
        <w:spacing w:after="0" w:line="240" w:lineRule="auto"/>
      </w:pPr>
      <w:r>
        <w:separator/>
      </w:r>
    </w:p>
  </w:endnote>
  <w:endnote w:type="continuationSeparator" w:id="0">
    <w:p w:rsidR="008C4045" w:rsidRDefault="008C4045" w:rsidP="0035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045" w:rsidRDefault="008C4045" w:rsidP="00357829">
      <w:pPr>
        <w:spacing w:after="0" w:line="240" w:lineRule="auto"/>
      </w:pPr>
      <w:r>
        <w:separator/>
      </w:r>
    </w:p>
  </w:footnote>
  <w:footnote w:type="continuationSeparator" w:id="0">
    <w:p w:rsidR="008C4045" w:rsidRDefault="008C4045" w:rsidP="00357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6943"/>
    <w:multiLevelType w:val="multilevel"/>
    <w:tmpl w:val="E426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24104"/>
    <w:multiLevelType w:val="multilevel"/>
    <w:tmpl w:val="F1B4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402B0"/>
    <w:multiLevelType w:val="hybridMultilevel"/>
    <w:tmpl w:val="AE2E8B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B0B0802"/>
    <w:multiLevelType w:val="hybridMultilevel"/>
    <w:tmpl w:val="AD4A98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EA35D3D"/>
    <w:multiLevelType w:val="hybridMultilevel"/>
    <w:tmpl w:val="5CAA83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819666D"/>
    <w:multiLevelType w:val="hybridMultilevel"/>
    <w:tmpl w:val="7BA048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E0B6587"/>
    <w:multiLevelType w:val="hybridMultilevel"/>
    <w:tmpl w:val="90CA3D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206348F"/>
    <w:multiLevelType w:val="multilevel"/>
    <w:tmpl w:val="FD5C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D603C"/>
    <w:multiLevelType w:val="hybridMultilevel"/>
    <w:tmpl w:val="2DCA1D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0E329DC"/>
    <w:multiLevelType w:val="multilevel"/>
    <w:tmpl w:val="41BA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291D60"/>
    <w:multiLevelType w:val="hybridMultilevel"/>
    <w:tmpl w:val="647422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1F9556B"/>
    <w:multiLevelType w:val="hybridMultilevel"/>
    <w:tmpl w:val="7F6E31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35747F"/>
    <w:multiLevelType w:val="hybridMultilevel"/>
    <w:tmpl w:val="E76A6E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81951A2"/>
    <w:multiLevelType w:val="multilevel"/>
    <w:tmpl w:val="1148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F0451F"/>
    <w:multiLevelType w:val="hybridMultilevel"/>
    <w:tmpl w:val="CCD0CF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13"/>
  </w:num>
  <w:num w:numId="6">
    <w:abstractNumId w:val="14"/>
  </w:num>
  <w:num w:numId="7">
    <w:abstractNumId w:val="10"/>
  </w:num>
  <w:num w:numId="8">
    <w:abstractNumId w:val="11"/>
  </w:num>
  <w:num w:numId="9">
    <w:abstractNumId w:val="5"/>
  </w:num>
  <w:num w:numId="10">
    <w:abstractNumId w:val="3"/>
  </w:num>
  <w:num w:numId="11">
    <w:abstractNumId w:val="6"/>
  </w:num>
  <w:num w:numId="12">
    <w:abstractNumId w:val="4"/>
  </w:num>
  <w:num w:numId="13">
    <w:abstractNumId w:val="8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7C6D"/>
    <w:rsid w:val="000209DC"/>
    <w:rsid w:val="00357829"/>
    <w:rsid w:val="00377CCB"/>
    <w:rsid w:val="006463AD"/>
    <w:rsid w:val="006673A9"/>
    <w:rsid w:val="008C4045"/>
    <w:rsid w:val="00976119"/>
    <w:rsid w:val="009F7C6D"/>
    <w:rsid w:val="00D67F95"/>
    <w:rsid w:val="00D7154F"/>
    <w:rsid w:val="00DE2763"/>
    <w:rsid w:val="00DF6218"/>
    <w:rsid w:val="00FD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4F"/>
    <w:pPr>
      <w:widowControl w:val="0"/>
    </w:pPr>
  </w:style>
  <w:style w:type="paragraph" w:styleId="1">
    <w:name w:val="heading 1"/>
    <w:basedOn w:val="a"/>
    <w:link w:val="1Char"/>
    <w:uiPriority w:val="9"/>
    <w:qFormat/>
    <w:rsid w:val="009F7C6D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F7C6D"/>
    <w:pPr>
      <w:widowControl/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F7C6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9F7C6D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9F7C6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9F7C6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F7C6D"/>
    <w:rPr>
      <w:sz w:val="18"/>
      <w:szCs w:val="18"/>
    </w:rPr>
  </w:style>
  <w:style w:type="paragraph" w:styleId="a5">
    <w:name w:val="List Paragraph"/>
    <w:basedOn w:val="a"/>
    <w:uiPriority w:val="34"/>
    <w:qFormat/>
    <w:rsid w:val="009F7C6D"/>
    <w:pPr>
      <w:widowControl/>
      <w:spacing w:after="200" w:line="276" w:lineRule="auto"/>
      <w:ind w:left="720"/>
      <w:contextualSpacing/>
    </w:pPr>
    <w:rPr>
      <w:rFonts w:ascii="Noto Sans CJK SC" w:eastAsia="Noto Sans CJK SC" w:hAnsi="Noto Sans CJK SC" w:cs="Noto Sans CJK SC"/>
      <w:kern w:val="0"/>
      <w:sz w:val="21"/>
      <w:szCs w:val="22"/>
      <w:lang w:eastAsia="en-US"/>
    </w:rPr>
  </w:style>
  <w:style w:type="character" w:styleId="a6">
    <w:name w:val="Hyperlink"/>
    <w:basedOn w:val="a0"/>
    <w:uiPriority w:val="99"/>
    <w:unhideWhenUsed/>
    <w:rsid w:val="000209DC"/>
    <w:rPr>
      <w:color w:val="467886" w:themeColor="hyperlink"/>
      <w:u w:val="single"/>
    </w:rPr>
  </w:style>
  <w:style w:type="paragraph" w:styleId="a7">
    <w:name w:val="header"/>
    <w:basedOn w:val="a"/>
    <w:link w:val="Char0"/>
    <w:uiPriority w:val="99"/>
    <w:semiHidden/>
    <w:unhideWhenUsed/>
    <w:rsid w:val="00357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357829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35782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357829"/>
    <w:rPr>
      <w:sz w:val="18"/>
      <w:szCs w:val="18"/>
    </w:rPr>
  </w:style>
  <w:style w:type="character" w:styleId="a9">
    <w:name w:val="Emphasis"/>
    <w:basedOn w:val="a0"/>
    <w:uiPriority w:val="20"/>
    <w:qFormat/>
    <w:rsid w:val="003578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4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8</cp:revision>
  <dcterms:created xsi:type="dcterms:W3CDTF">2026-07-14T07:07:00Z</dcterms:created>
  <dcterms:modified xsi:type="dcterms:W3CDTF">2026-07-16T06:42:00Z</dcterms:modified>
</cp:coreProperties>
</file>